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Pr="00CE1C9C" w:rsidRDefault="000D0B04" w:rsidP="00CE1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C9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CE1C9C" w:rsidRDefault="000D0B04" w:rsidP="00CE1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C9C">
        <w:rPr>
          <w:rFonts w:ascii="Times New Roman" w:hAnsi="Times New Roman" w:cs="Times New Roman"/>
          <w:sz w:val="24"/>
          <w:szCs w:val="24"/>
        </w:rPr>
        <w:t>TRABZON ÜNİVERSİTESİ</w:t>
      </w:r>
    </w:p>
    <w:p w:rsidR="007F10BF" w:rsidRPr="00CE1C9C" w:rsidRDefault="007F10BF" w:rsidP="00CE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D6" w:rsidRPr="00FB57D6" w:rsidRDefault="00FB57D6" w:rsidP="00FB57D6">
      <w:pPr>
        <w:jc w:val="both"/>
        <w:rPr>
          <w:rFonts w:ascii="Times New Roman" w:hAnsi="Times New Roman" w:cs="Times New Roman"/>
          <w:sz w:val="24"/>
          <w:szCs w:val="24"/>
        </w:rPr>
      </w:pPr>
      <w:r w:rsidRPr="00FB57D6">
        <w:rPr>
          <w:rFonts w:ascii="Times New Roman" w:hAnsi="Times New Roman" w:cs="Times New Roman"/>
          <w:sz w:val="24"/>
          <w:szCs w:val="24"/>
        </w:rPr>
        <w:t>A.</w:t>
      </w:r>
      <w:r w:rsidR="00FB0029">
        <w:rPr>
          <w:rFonts w:ascii="Times New Roman" w:hAnsi="Times New Roman" w:cs="Times New Roman"/>
          <w:sz w:val="24"/>
          <w:szCs w:val="24"/>
        </w:rPr>
        <w:t>4.</w:t>
      </w:r>
      <w:r w:rsidRPr="00FB57D6">
        <w:rPr>
          <w:rFonts w:ascii="Times New Roman" w:hAnsi="Times New Roman" w:cs="Times New Roman"/>
          <w:sz w:val="24"/>
          <w:szCs w:val="24"/>
        </w:rPr>
        <w:t>1.</w:t>
      </w:r>
      <w:r w:rsidR="00FB0029">
        <w:rPr>
          <w:rFonts w:ascii="Times New Roman" w:hAnsi="Times New Roman" w:cs="Times New Roman"/>
          <w:sz w:val="24"/>
          <w:szCs w:val="24"/>
        </w:rPr>
        <w:t>5</w:t>
      </w:r>
      <w:r w:rsidRPr="00FB57D6">
        <w:rPr>
          <w:rFonts w:ascii="Times New Roman" w:hAnsi="Times New Roman" w:cs="Times New Roman"/>
          <w:sz w:val="24"/>
          <w:szCs w:val="24"/>
        </w:rPr>
        <w:t xml:space="preserve">. TRÜ </w:t>
      </w:r>
      <w:proofErr w:type="spellStart"/>
      <w:r w:rsidR="00166821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="00166821">
        <w:rPr>
          <w:rFonts w:ascii="Times New Roman" w:hAnsi="Times New Roman" w:cs="Times New Roman"/>
          <w:sz w:val="24"/>
          <w:szCs w:val="24"/>
        </w:rPr>
        <w:t xml:space="preserve"> </w:t>
      </w:r>
      <w:r w:rsidRPr="00FB57D6">
        <w:rPr>
          <w:rFonts w:ascii="Times New Roman" w:hAnsi="Times New Roman" w:cs="Times New Roman"/>
          <w:sz w:val="24"/>
          <w:szCs w:val="24"/>
        </w:rPr>
        <w:t>politika</w:t>
      </w:r>
      <w:r w:rsidR="00DA7129">
        <w:rPr>
          <w:rFonts w:ascii="Times New Roman" w:hAnsi="Times New Roman" w:cs="Times New Roman"/>
          <w:sz w:val="24"/>
          <w:szCs w:val="24"/>
        </w:rPr>
        <w:t>sı</w:t>
      </w:r>
      <w:r w:rsidRPr="00FB57D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FB57D6">
          <w:rPr>
            <w:rStyle w:val="Kpr"/>
            <w:rFonts w:ascii="Times New Roman" w:hAnsi="Times New Roman" w:cs="Times New Roman"/>
            <w:sz w:val="24"/>
            <w:szCs w:val="24"/>
          </w:rPr>
          <w:t>http://kalite.trabzon.edu.tr/tr/page/yonetim/24960</w:t>
        </w:r>
      </w:hyperlink>
      <w:r w:rsidRPr="00FB57D6">
        <w:rPr>
          <w:rFonts w:ascii="Times New Roman" w:hAnsi="Times New Roman" w:cs="Times New Roman"/>
          <w:sz w:val="24"/>
          <w:szCs w:val="24"/>
        </w:rPr>
        <w:t>).</w:t>
      </w:r>
    </w:p>
    <w:p w:rsid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821" w:rsidRPr="00166821" w:rsidRDefault="00166821" w:rsidP="001668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821">
        <w:rPr>
          <w:rFonts w:ascii="Times New Roman" w:hAnsi="Times New Roman" w:cs="Times New Roman"/>
          <w:b/>
          <w:bCs/>
          <w:sz w:val="24"/>
          <w:szCs w:val="24"/>
        </w:rPr>
        <w:t xml:space="preserve">ULUSLARARASILAŞMA POLİTİKASI 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>Yüksek öğrenim alanında sınır ötesi işbirliği ile diğer kurumlarla uluslararası stratejik işbirliğine dayalı ortaklığın teşvik edilmesi.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>Uluslararası iş birliklerinin kalitesini ve miktarını iyileştirmek için Avrupa Öğrenci Kartı Girişimi ve diğer çevrimiçi kaynaklar doğrultusunda dijital hareketlilik yönetiminin uygulanmasının desteklenmesi.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>Yurtdışındaki hareketlilik sırasında öğretimi zenginleştirmek ve öğrenci deneyimini geliştirmek için yeni Bilgi Teknolojilerinin yenilikçi bir şekilde kullanılması.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 xml:space="preserve">Yetkinliklerini ve </w:t>
      </w:r>
      <w:proofErr w:type="gramStart"/>
      <w:r w:rsidRPr="00166821">
        <w:rPr>
          <w:rFonts w:ascii="Times New Roman" w:hAnsi="Times New Roman" w:cs="Times New Roman"/>
          <w:sz w:val="24"/>
          <w:szCs w:val="24"/>
        </w:rPr>
        <w:t>motivasyonlarını</w:t>
      </w:r>
      <w:proofErr w:type="gramEnd"/>
      <w:r w:rsidRPr="00166821">
        <w:rPr>
          <w:rFonts w:ascii="Times New Roman" w:hAnsi="Times New Roman" w:cs="Times New Roman"/>
          <w:sz w:val="24"/>
          <w:szCs w:val="24"/>
        </w:rPr>
        <w:t xml:space="preserve"> artırmak için tüm ihtiyaçlarını karşılayarak ve mesleki gelişimin ayrılmaz bir parçası olmak için uluslararası personel hareketliliğinin faydaları için </w:t>
      </w:r>
      <w:proofErr w:type="gramStart"/>
      <w:r w:rsidRPr="00166821">
        <w:rPr>
          <w:rFonts w:ascii="Times New Roman" w:hAnsi="Times New Roman" w:cs="Times New Roman"/>
          <w:sz w:val="24"/>
          <w:szCs w:val="24"/>
        </w:rPr>
        <w:t>katılımcılardan</w:t>
      </w:r>
      <w:proofErr w:type="gramEnd"/>
      <w:r w:rsidRPr="00166821">
        <w:rPr>
          <w:rFonts w:ascii="Times New Roman" w:hAnsi="Times New Roman" w:cs="Times New Roman"/>
          <w:sz w:val="24"/>
          <w:szCs w:val="24"/>
        </w:rPr>
        <w:t xml:space="preserve"> gelen geri bildirimleri kullanarak uluslararası personel hareketliliğinin potansiyelini artırmak.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 xml:space="preserve">İlgili hedeflerin yanı sıra Trabzon Üniversitesi’nin </w:t>
      </w:r>
      <w:proofErr w:type="spellStart"/>
      <w:r w:rsidRPr="00166821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Pr="00166821">
        <w:rPr>
          <w:rFonts w:ascii="Times New Roman" w:hAnsi="Times New Roman" w:cs="Times New Roman"/>
          <w:sz w:val="24"/>
          <w:szCs w:val="24"/>
        </w:rPr>
        <w:t xml:space="preserve"> kapsamında amaçladığı ve katkı sağlamayı planladığı alanlar ise şunlardır: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>Bir Avrupa Eğitim Alanı oluşturmaya katkıda bulunmak amacıyla, uluslararası akademik, bilimsel ve ekonomik yapılarla iyi ilişkiler ve işbirliği yoluyla öğrenme ve öğretme süreçlerinin içselleştirilmesini teşvik etmek.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821">
        <w:rPr>
          <w:rFonts w:ascii="Times New Roman" w:hAnsi="Times New Roman" w:cs="Times New Roman"/>
          <w:sz w:val="24"/>
          <w:szCs w:val="24"/>
        </w:rPr>
        <w:t>Yüksek akademisyenliği teşvik etmenin bir yolu olarak öğrencilerinin ve öğretim üyelerinin standart çeşitliliklerini arttırmak.</w:t>
      </w:r>
      <w:proofErr w:type="gramEnd"/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 xml:space="preserve"> Öğrencilere yurtdışında öğrenme deneyimi yaşamaları için daha fazla fırsat sunarak hareketliliği güçlendirmek.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 xml:space="preserve">Çevrimiçi kaynaklar ve kullanıma hazır çalışma materyalleri ile </w:t>
      </w:r>
      <w:proofErr w:type="gramStart"/>
      <w:r w:rsidRPr="00166821">
        <w:rPr>
          <w:rFonts w:ascii="Times New Roman" w:hAnsi="Times New Roman" w:cs="Times New Roman"/>
          <w:sz w:val="24"/>
          <w:szCs w:val="24"/>
        </w:rPr>
        <w:t>entegre</w:t>
      </w:r>
      <w:proofErr w:type="gramEnd"/>
      <w:r w:rsidRPr="00166821">
        <w:rPr>
          <w:rFonts w:ascii="Times New Roman" w:hAnsi="Times New Roman" w:cs="Times New Roman"/>
          <w:sz w:val="24"/>
          <w:szCs w:val="24"/>
        </w:rPr>
        <w:t>, uluslararası öğretim ve öğrenim etkinlikleri geliştirerek uluslararası değişim öğrencilerinin ilgisini çekmek.</w:t>
      </w:r>
    </w:p>
    <w:p w:rsidR="00166821" w:rsidRPr="00166821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 xml:space="preserve">Yabancı dilde öğretilen çalışma programlarının sayısını, uluslararası öğretim üyesi ve araştırmacı sayısını artırarak ve yerel öğretim ve idari personelin dil yeterliliğini geliştirerek programlarını </w:t>
      </w:r>
      <w:proofErr w:type="spellStart"/>
      <w:r w:rsidRPr="00166821">
        <w:rPr>
          <w:rFonts w:ascii="Times New Roman" w:hAnsi="Times New Roman" w:cs="Times New Roman"/>
          <w:sz w:val="24"/>
          <w:szCs w:val="24"/>
        </w:rPr>
        <w:t>uluslararasılaştırmak</w:t>
      </w:r>
      <w:proofErr w:type="spellEnd"/>
      <w:r w:rsidRPr="00166821">
        <w:rPr>
          <w:rFonts w:ascii="Times New Roman" w:hAnsi="Times New Roman" w:cs="Times New Roman"/>
          <w:sz w:val="24"/>
          <w:szCs w:val="24"/>
        </w:rPr>
        <w:t>.</w:t>
      </w:r>
    </w:p>
    <w:p w:rsidR="00166821" w:rsidRPr="00CE1C9C" w:rsidRDefault="00166821" w:rsidP="0016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66821">
        <w:rPr>
          <w:rFonts w:ascii="Times New Roman" w:hAnsi="Times New Roman" w:cs="Times New Roman"/>
          <w:sz w:val="24"/>
          <w:szCs w:val="24"/>
        </w:rPr>
        <w:t xml:space="preserve">TRU araştırma ve eğitim projeleri başlatmanın ve yenilikçiliği, girişimciliği, istihdam edilebilirliği, bilgi alışverişini ve / veya çok disiplinli öğretme ve öğrenmeyi teşvik etmek için </w:t>
      </w:r>
      <w:r w:rsidRPr="00166821">
        <w:rPr>
          <w:rFonts w:ascii="Times New Roman" w:hAnsi="Times New Roman" w:cs="Times New Roman"/>
          <w:sz w:val="24"/>
          <w:szCs w:val="24"/>
        </w:rPr>
        <w:lastRenderedPageBreak/>
        <w:t>ortaklıklar kurmanın önemini kabul ederek KA2 ve KA3 projelerinde yer almayı amaçlamaktadır.</w:t>
      </w:r>
    </w:p>
    <w:sectPr w:rsidR="00166821" w:rsidRPr="00CE1C9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C84"/>
    <w:multiLevelType w:val="multilevel"/>
    <w:tmpl w:val="F1A6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71CA2"/>
    <w:multiLevelType w:val="multilevel"/>
    <w:tmpl w:val="2D4E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619B1"/>
    <w:multiLevelType w:val="multilevel"/>
    <w:tmpl w:val="BAD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62C89"/>
    <w:multiLevelType w:val="multilevel"/>
    <w:tmpl w:val="771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826D5"/>
    <w:multiLevelType w:val="multilevel"/>
    <w:tmpl w:val="C09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0B04"/>
    <w:rsid w:val="00064F7F"/>
    <w:rsid w:val="000B164E"/>
    <w:rsid w:val="000D0327"/>
    <w:rsid w:val="000D0B04"/>
    <w:rsid w:val="00166821"/>
    <w:rsid w:val="001F2282"/>
    <w:rsid w:val="004105E3"/>
    <w:rsid w:val="006314ED"/>
    <w:rsid w:val="006C4D8B"/>
    <w:rsid w:val="007F10BF"/>
    <w:rsid w:val="008B1A14"/>
    <w:rsid w:val="009C4A8F"/>
    <w:rsid w:val="00A80F61"/>
    <w:rsid w:val="00BC2361"/>
    <w:rsid w:val="00C31D9E"/>
    <w:rsid w:val="00CE1C9C"/>
    <w:rsid w:val="00DA7129"/>
    <w:rsid w:val="00FB0029"/>
    <w:rsid w:val="00FB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4E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B57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ite.trabzon.edu.tr/tr/page/yonetim/24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2021-04-22T11:04:00Z</dcterms:created>
  <dcterms:modified xsi:type="dcterms:W3CDTF">2021-04-22T11:04:00Z</dcterms:modified>
</cp:coreProperties>
</file>